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C3FC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3FC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645218A" wp14:editId="5524AE7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AA0C72" w:rsidRDefault="00326F36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25 ноября 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6C79E0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83</w:t>
      </w:r>
    </w:p>
    <w:p w:rsidR="00326F36" w:rsidRPr="00AA0C72" w:rsidRDefault="00326F36" w:rsidP="00AA0C72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A0C72" w:rsidRDefault="00326F36" w:rsidP="00AA0C72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A0C72" w:rsidRDefault="00326F36" w:rsidP="00AA0C72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AA0C72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AA0C72">
        <w:rPr>
          <w:rFonts w:ascii="PT Astra Serif" w:hAnsi="PT Astra Serif" w:cs="Times New Roman"/>
          <w:b/>
          <w:sz w:val="26"/>
          <w:szCs w:val="26"/>
        </w:rPr>
        <w:t>6</w:t>
      </w:r>
      <w:r w:rsidRPr="00AA0C72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AA0C72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AA0C72">
        <w:rPr>
          <w:rFonts w:ascii="PT Astra Serif" w:hAnsi="PT Astra Serif"/>
          <w:b/>
          <w:sz w:val="26"/>
          <w:szCs w:val="26"/>
        </w:rPr>
        <w:t xml:space="preserve"> </w:t>
      </w:r>
      <w:r w:rsidRPr="00AA0C72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AA0C72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AA0C72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AA0C72" w:rsidRDefault="00326F36" w:rsidP="00AA0C72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AA0C72" w:rsidRDefault="00326F36" w:rsidP="00AA0C72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AA0C72" w:rsidRDefault="00811DA9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913090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</w:p>
    <w:p w:rsidR="00326F36" w:rsidRDefault="00326F36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A0C72" w:rsidRPr="00AA0C72" w:rsidRDefault="00AA0C72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A0C72" w:rsidRDefault="00326F36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A0C72" w:rsidRPr="00AA0C72" w:rsidRDefault="00AA0C72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AA0C72" w:rsidRDefault="00AB309A" w:rsidP="00AA0C72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A0C72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AA0C72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AA0C72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AA0C72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AA0C72">
        <w:rPr>
          <w:rFonts w:ascii="PT Astra Serif" w:hAnsi="PT Astra Serif"/>
          <w:b w:val="0"/>
          <w:sz w:val="26"/>
          <w:szCs w:val="26"/>
        </w:rPr>
        <w:t>6</w:t>
      </w:r>
      <w:r w:rsidR="00326F36" w:rsidRPr="00AA0C72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AA0C72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AA0C72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AA0C72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="00326F36" w:rsidRPr="00AA0C72">
        <w:rPr>
          <w:rFonts w:ascii="PT Astra Serif" w:hAnsi="PT Astra Serif"/>
          <w:b w:val="0"/>
          <w:sz w:val="26"/>
          <w:szCs w:val="26"/>
        </w:rPr>
        <w:t xml:space="preserve">» </w:t>
      </w:r>
      <w:r w:rsidRPr="00AA0C72">
        <w:rPr>
          <w:rFonts w:ascii="PT Astra Serif" w:hAnsi="PT Astra Serif"/>
          <w:b w:val="0"/>
          <w:sz w:val="26"/>
          <w:szCs w:val="26"/>
        </w:rPr>
        <w:t>(с изменениями от 27.09.2022 № 94</w:t>
      </w:r>
      <w:r w:rsidR="00DB5479" w:rsidRPr="00AA0C72">
        <w:rPr>
          <w:rFonts w:ascii="PT Astra Serif" w:hAnsi="PT Astra Serif"/>
          <w:b w:val="0"/>
          <w:sz w:val="26"/>
          <w:szCs w:val="26"/>
        </w:rPr>
        <w:t>, от 28.02.2023 № 14</w:t>
      </w:r>
      <w:r w:rsidR="00B340D6" w:rsidRPr="00AA0C72">
        <w:rPr>
          <w:rFonts w:ascii="PT Astra Serif" w:hAnsi="PT Astra Serif"/>
          <w:b w:val="0"/>
          <w:sz w:val="26"/>
          <w:szCs w:val="26"/>
        </w:rPr>
        <w:t>, от 29.08.2023 № 66</w:t>
      </w:r>
      <w:r w:rsidR="006C79E0" w:rsidRPr="00AA0C72">
        <w:rPr>
          <w:rFonts w:ascii="PT Astra Serif" w:hAnsi="PT Astra Serif"/>
          <w:b w:val="0"/>
          <w:sz w:val="26"/>
          <w:szCs w:val="26"/>
        </w:rPr>
        <w:t>, от 26.11.2024 № 91</w:t>
      </w:r>
      <w:r w:rsidRPr="00AA0C72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AA0C72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516C01" w:rsidRPr="00AA0C72" w:rsidRDefault="00516C01" w:rsidP="00AA0C72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A0C72">
        <w:rPr>
          <w:rFonts w:ascii="PT Astra Serif" w:hAnsi="PT Astra Serif"/>
          <w:sz w:val="26"/>
          <w:szCs w:val="26"/>
        </w:rPr>
        <w:t>1.1. Пункт 1</w:t>
      </w:r>
      <w:r w:rsidR="008E013F" w:rsidRPr="00AA0C72">
        <w:rPr>
          <w:rFonts w:ascii="PT Astra Serif" w:hAnsi="PT Astra Serif"/>
          <w:sz w:val="26"/>
          <w:szCs w:val="26"/>
        </w:rPr>
        <w:t>7</w:t>
      </w:r>
      <w:r w:rsidRPr="00AA0C72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516C01" w:rsidRPr="00AA0C72" w:rsidRDefault="00516C01" w:rsidP="00AA0C72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A0C72">
        <w:rPr>
          <w:rFonts w:ascii="PT Astra Serif" w:hAnsi="PT Astra Serif"/>
          <w:sz w:val="26"/>
          <w:szCs w:val="26"/>
        </w:rPr>
        <w:t>«1</w:t>
      </w:r>
      <w:r w:rsidR="008E013F" w:rsidRPr="00AA0C72">
        <w:rPr>
          <w:rFonts w:ascii="PT Astra Serif" w:hAnsi="PT Astra Serif"/>
          <w:sz w:val="26"/>
          <w:szCs w:val="26"/>
        </w:rPr>
        <w:t>7</w:t>
      </w:r>
      <w:r w:rsidRPr="00AA0C72">
        <w:rPr>
          <w:rFonts w:ascii="PT Astra Serif" w:hAnsi="PT Astra Serif"/>
          <w:sz w:val="26"/>
          <w:szCs w:val="26"/>
        </w:rPr>
        <w:t>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 Допустимый уровень риска причинения вреда (ущерба) закреплен в ключевых показателях вида муниципального контроля</w:t>
      </w:r>
      <w:r w:rsidR="00913090" w:rsidRPr="00AA0C72">
        <w:rPr>
          <w:rFonts w:ascii="PT Astra Serif" w:hAnsi="PT Astra Serif"/>
          <w:sz w:val="26"/>
          <w:szCs w:val="26"/>
        </w:rPr>
        <w:t>, содержащихся в приложении</w:t>
      </w:r>
      <w:r w:rsidRPr="00AA0C72">
        <w:rPr>
          <w:rFonts w:ascii="PT Astra Serif" w:hAnsi="PT Astra Serif"/>
          <w:sz w:val="26"/>
          <w:szCs w:val="26"/>
        </w:rPr>
        <w:t xml:space="preserve"> 3 к настоящему </w:t>
      </w:r>
      <w:r w:rsidR="00913090" w:rsidRPr="00AA0C72">
        <w:rPr>
          <w:rFonts w:ascii="PT Astra Serif" w:hAnsi="PT Astra Serif"/>
          <w:sz w:val="26"/>
          <w:szCs w:val="26"/>
        </w:rPr>
        <w:t>П</w:t>
      </w:r>
      <w:r w:rsidRPr="00AA0C72">
        <w:rPr>
          <w:rFonts w:ascii="PT Astra Serif" w:hAnsi="PT Astra Serif"/>
          <w:sz w:val="26"/>
          <w:szCs w:val="26"/>
        </w:rPr>
        <w:t>оложению</w:t>
      </w:r>
      <w:proofErr w:type="gramStart"/>
      <w:r w:rsidRPr="00AA0C72">
        <w:rPr>
          <w:rFonts w:ascii="PT Astra Serif" w:hAnsi="PT Astra Serif"/>
          <w:sz w:val="26"/>
          <w:szCs w:val="26"/>
        </w:rPr>
        <w:t>.».</w:t>
      </w:r>
      <w:proofErr w:type="gramEnd"/>
    </w:p>
    <w:p w:rsidR="002E13F9" w:rsidRPr="00AA0C72" w:rsidRDefault="002E13F9" w:rsidP="00AA0C72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A0C72">
        <w:rPr>
          <w:rFonts w:ascii="PT Astra Serif" w:hAnsi="PT Astra Serif"/>
          <w:sz w:val="26"/>
          <w:szCs w:val="26"/>
        </w:rPr>
        <w:t>1.</w:t>
      </w:r>
      <w:r w:rsidR="00712CDC" w:rsidRPr="00AA0C72">
        <w:rPr>
          <w:rFonts w:ascii="PT Astra Serif" w:hAnsi="PT Astra Serif"/>
          <w:sz w:val="26"/>
          <w:szCs w:val="26"/>
        </w:rPr>
        <w:t>2</w:t>
      </w:r>
      <w:r w:rsidRPr="00AA0C72">
        <w:rPr>
          <w:rFonts w:ascii="PT Astra Serif" w:hAnsi="PT Astra Serif"/>
          <w:sz w:val="26"/>
          <w:szCs w:val="26"/>
        </w:rPr>
        <w:t>. Пункт 31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</w:t>
      </w:r>
      <w:r w:rsidR="00646B4C" w:rsidRPr="00AA0C72">
        <w:rPr>
          <w:rFonts w:ascii="PT Astra Serif" w:hAnsi="PT Astra Serif"/>
          <w:sz w:val="26"/>
          <w:szCs w:val="26"/>
        </w:rPr>
        <w:t>рушению обязательных требований</w:t>
      </w:r>
      <w:r w:rsidRPr="00AA0C72">
        <w:rPr>
          <w:rFonts w:ascii="PT Astra Serif" w:hAnsi="PT Astra Serif"/>
          <w:sz w:val="26"/>
          <w:szCs w:val="26"/>
        </w:rPr>
        <w:t>».</w:t>
      </w:r>
    </w:p>
    <w:p w:rsidR="003C3FC6" w:rsidRPr="00AA0C72" w:rsidRDefault="003C3FC6" w:rsidP="00AA0C72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A0C72">
        <w:rPr>
          <w:rFonts w:ascii="PT Astra Serif" w:hAnsi="PT Astra Serif"/>
          <w:sz w:val="26"/>
          <w:szCs w:val="26"/>
        </w:rPr>
        <w:t>1.</w:t>
      </w:r>
      <w:r w:rsidR="00712CDC" w:rsidRPr="00AA0C72">
        <w:rPr>
          <w:rFonts w:ascii="PT Astra Serif" w:hAnsi="PT Astra Serif"/>
          <w:sz w:val="26"/>
          <w:szCs w:val="26"/>
        </w:rPr>
        <w:t>3</w:t>
      </w:r>
      <w:r w:rsidRPr="00AA0C72">
        <w:rPr>
          <w:rFonts w:ascii="PT Astra Serif" w:hAnsi="PT Astra Serif"/>
          <w:sz w:val="26"/>
          <w:szCs w:val="26"/>
        </w:rPr>
        <w:t>. Пункт 36 изложить в следующей редакции: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«36. 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proofErr w:type="gramStart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lastRenderedPageBreak/>
        <w:t>категории риска, а должностные лица контрольного органа осуществля</w:t>
      </w:r>
      <w:r w:rsidR="00692341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ю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т ознакомление с объектом контроля, сбор</w:t>
      </w:r>
      <w:proofErr w:type="gramEnd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сведений, необходимых для отнесения объектов контроля к категориям риска, и провод</w:t>
      </w:r>
      <w:r w:rsidR="00692341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я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т оценку уровня соблюдения контролируемым лицом обязательных требований.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</w:t>
      </w:r>
      <w:r w:rsidR="00C5616B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м или муниципальным учреждением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)</w:t>
      </w:r>
      <w:r w:rsidR="00C5616B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Обязательный профилактический визит проводится в порядке и случаях, предусмотренных </w:t>
      </w:r>
      <w:hyperlink r:id="rId8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статьями 25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, </w:t>
      </w:r>
      <w:hyperlink r:id="rId9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52.1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Для </w:t>
      </w:r>
      <w:proofErr w:type="gramStart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Правительством Российской Федерации.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Обязательные профилактические визиты, предусмотренные </w:t>
      </w:r>
      <w:hyperlink r:id="rId10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частью 2 статьи 25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248-ФЗ, в отношении категории низкого риска не проводятся</w:t>
      </w:r>
      <w:proofErr w:type="gramStart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.».</w:t>
      </w:r>
      <w:proofErr w:type="gramEnd"/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</w:t>
      </w:r>
      <w:r w:rsidR="00712CDC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4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 Пункты 36.1-36.10 признать утратившими силу.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</w:t>
      </w:r>
      <w:r w:rsidR="00712CDC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5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 Пункт</w:t>
      </w:r>
      <w:r w:rsidR="00114D08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ы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37</w:t>
      </w:r>
      <w:r w:rsidR="00114D08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-39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изложить в следующей редакции: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«37. 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 </w:t>
      </w:r>
      <w:hyperlink r:id="rId11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статьей 90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</w:t>
      </w:r>
      <w:r w:rsidR="00114D08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закона от 31.07.2020 № 248-ФЗ.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38.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2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статьей 90.1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</w:t>
      </w:r>
      <w:r w:rsidR="005F1981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закона от 31.07.2020 №</w:t>
      </w:r>
      <w:r w:rsidR="00C5616B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 </w:t>
      </w:r>
      <w:r w:rsidR="005F1981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248-ФЗ.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39. Профилактический визит по инициативе контролируемого лица проводится в соответствии с требованиями </w:t>
      </w:r>
      <w:hyperlink r:id="rId13" w:history="1">
        <w:r w:rsidRPr="00AA0C72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статьи 52.2</w:t>
        </w:r>
      </w:hyperlink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248-ФЗ.».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</w:t>
      </w:r>
      <w:r w:rsidR="005F1981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6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 Пункты 39.1-39.4  признать утратившими силу.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</w:t>
      </w:r>
      <w:r w:rsidR="009366C2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7</w:t>
      </w: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 Пункт 44 изложить в следующей редакции: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«44. При осуществлении муниципального контроля плановые контрольные мероприятия не проводятся</w:t>
      </w:r>
      <w:proofErr w:type="gramStart"/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.».</w:t>
      </w:r>
      <w:proofErr w:type="gramEnd"/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hAnsi="PT Astra Serif"/>
          <w:sz w:val="26"/>
          <w:szCs w:val="26"/>
        </w:rPr>
        <w:t>1.</w:t>
      </w:r>
      <w:r w:rsidR="009366C2" w:rsidRPr="00AA0C72">
        <w:rPr>
          <w:rFonts w:ascii="PT Astra Serif" w:hAnsi="PT Astra Serif"/>
          <w:sz w:val="26"/>
          <w:szCs w:val="26"/>
        </w:rPr>
        <w:t>8</w:t>
      </w:r>
      <w:r w:rsidRPr="00AA0C72">
        <w:rPr>
          <w:rFonts w:ascii="PT Astra Serif" w:hAnsi="PT Astra Serif"/>
          <w:sz w:val="26"/>
          <w:szCs w:val="26"/>
        </w:rPr>
        <w:t>.</w:t>
      </w:r>
      <w:r w:rsidR="00743051" w:rsidRPr="00AA0C72">
        <w:rPr>
          <w:rFonts w:ascii="PT Astra Serif" w:hAnsi="PT Astra Serif"/>
          <w:sz w:val="26"/>
          <w:szCs w:val="26"/>
        </w:rPr>
        <w:t xml:space="preserve"> </w:t>
      </w:r>
      <w:r w:rsidRPr="00AA0C72">
        <w:rPr>
          <w:rFonts w:ascii="PT Astra Serif" w:hAnsi="PT Astra Serif"/>
          <w:sz w:val="26"/>
          <w:szCs w:val="26"/>
        </w:rPr>
        <w:t>Дополнить пунктом 44</w:t>
      </w:r>
      <w:r w:rsidR="009366C2" w:rsidRPr="00AA0C72">
        <w:rPr>
          <w:rFonts w:ascii="PT Astra Serif" w:hAnsi="PT Astra Serif"/>
          <w:sz w:val="26"/>
          <w:szCs w:val="26"/>
        </w:rPr>
        <w:t>.1</w:t>
      </w:r>
      <w:r w:rsidRPr="00AA0C72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hAnsi="PT Astra Serif"/>
          <w:sz w:val="26"/>
          <w:szCs w:val="26"/>
        </w:rPr>
        <w:t xml:space="preserve">«44.1. 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Контрольные мероприятия осуществляются на внеплановой основе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424F03" w:rsidRPr="00AA0C72" w:rsidRDefault="00424F03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9366C2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53 цифры «3 – 6» заменить цифрами «3, 4, 6, 8».</w:t>
      </w:r>
    </w:p>
    <w:p w:rsidR="00F067F0" w:rsidRPr="00AA0C72" w:rsidRDefault="00F067F0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9366C2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61 изложить в следующей редакции:</w:t>
      </w:r>
    </w:p>
    <w:p w:rsidR="00F067F0" w:rsidRPr="00AA0C72" w:rsidRDefault="00F067F0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«61.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</w:t>
      </w:r>
      <w:r w:rsidR="00C5616B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248-ФЗ.».</w:t>
      </w:r>
    </w:p>
    <w:p w:rsidR="008C2ADD" w:rsidRPr="00AA0C72" w:rsidRDefault="008C2ADD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950D2E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 абзаце первом </w:t>
      </w:r>
      <w:r w:rsidR="00267173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пункта 81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слово </w:t>
      </w:r>
      <w:r w:rsidR="00267173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осуществляться</w:t>
      </w:r>
      <w:r w:rsidR="00267173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заменить словами </w:t>
      </w:r>
      <w:r w:rsidR="00267173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сов</w:t>
      </w:r>
      <w:r w:rsidR="0042144E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ершаться следующие контрольные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действия</w:t>
      </w:r>
      <w:r w:rsidR="00267173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956938" w:rsidRPr="00AA0C72" w:rsidRDefault="00956938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950D2E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84</w:t>
      </w:r>
      <w:r w:rsidR="0025664E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признать утратившим силу.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950D2E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 Раздел V изложить в следующей редакции: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V. Управление рисками причинения вреда (ущерба) охраняемым законом ценностям при осуществлении муниципального контроля</w:t>
      </w:r>
    </w:p>
    <w:p w:rsidR="00950D2E" w:rsidRPr="00AA0C72" w:rsidRDefault="00950D2E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97. 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контрольных мероприятий, их содержание (в том числе объем проверяемых обязательных требований), интенсивность и результаты.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98.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 главой 5 Федерального закона № 248-ФЗ.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99.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100.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101. Допустимый уровень риска причинения вреда (ущерба) закреплен в ключевых показателях вида муниципального контроля.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103.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104.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105. В случае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proofErr w:type="gramEnd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106. 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107.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C3FC6" w:rsidRPr="00AA0C72" w:rsidRDefault="003C3FC6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108. 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</w:t>
      </w:r>
      <w:r w:rsidR="00691814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Федеральный реестр государственных и муниципальных услуг (функций)</w:t>
      </w:r>
      <w:r w:rsidR="00691814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91814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691814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критериями риска.».</w:t>
      </w:r>
      <w:proofErr w:type="gramEnd"/>
    </w:p>
    <w:p w:rsidR="003B1058" w:rsidRPr="00AA0C72" w:rsidRDefault="003C3FC6" w:rsidP="00AA0C72">
      <w:pPr>
        <w:pStyle w:val="Title"/>
        <w:spacing w:before="0" w:after="0"/>
        <w:ind w:firstLine="709"/>
        <w:jc w:val="both"/>
        <w:rPr>
          <w:rFonts w:ascii="PT Astra Serif" w:eastAsiaTheme="minorEastAsia" w:hAnsi="PT Astra Serif" w:cs="Times New Roman CYR"/>
          <w:b w:val="0"/>
          <w:sz w:val="26"/>
          <w:szCs w:val="26"/>
        </w:rPr>
      </w:pPr>
      <w:r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1.1</w:t>
      </w:r>
      <w:r w:rsidR="00950D2E"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4</w:t>
      </w:r>
      <w:r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. Приложение 2 изложить в новой редакции (приложение 1).</w:t>
      </w:r>
    </w:p>
    <w:p w:rsidR="00865CB7" w:rsidRPr="00AA0C72" w:rsidRDefault="00865CB7" w:rsidP="00AA0C72">
      <w:pPr>
        <w:pStyle w:val="Title"/>
        <w:spacing w:before="0" w:after="0"/>
        <w:ind w:firstLine="709"/>
        <w:jc w:val="both"/>
        <w:rPr>
          <w:rFonts w:ascii="PT Astra Serif" w:eastAsiaTheme="minorEastAsia" w:hAnsi="PT Astra Serif" w:cs="Times New Roman CYR"/>
          <w:b w:val="0"/>
          <w:sz w:val="26"/>
          <w:szCs w:val="26"/>
        </w:rPr>
      </w:pPr>
      <w:r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1.1</w:t>
      </w:r>
      <w:r w:rsidR="00950D2E"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5</w:t>
      </w:r>
      <w:r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 xml:space="preserve">. Дополнить </w:t>
      </w:r>
      <w:r w:rsidR="001B19FC"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п</w:t>
      </w:r>
      <w:r w:rsidRPr="00AA0C72">
        <w:rPr>
          <w:rFonts w:ascii="PT Astra Serif" w:eastAsiaTheme="minorEastAsia" w:hAnsi="PT Astra Serif" w:cs="Times New Roman CYR"/>
          <w:b w:val="0"/>
          <w:sz w:val="26"/>
          <w:szCs w:val="26"/>
        </w:rPr>
        <w:t>риложением 3 (приложение 2).</w:t>
      </w:r>
    </w:p>
    <w:p w:rsidR="00A70144" w:rsidRPr="00AA0C72" w:rsidRDefault="00E75ED9" w:rsidP="00AA0C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</w:t>
      </w:r>
      <w:r w:rsidR="00A7014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. </w:t>
      </w:r>
      <w:r w:rsidR="001B19FC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Р</w:t>
      </w:r>
      <w:r w:rsidR="00A7014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ешение Думы города Югорска от 25.02.2022 № 1</w:t>
      </w:r>
      <w:r w:rsidR="0069181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0</w:t>
      </w:r>
      <w:r w:rsidR="00A7014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«</w:t>
      </w:r>
      <w:r w:rsidR="0069181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Об утверждении перечня ключевых показателей и их целевых значениях, индикативных показателей для муниципального контроля в сфере благоустройства</w:t>
      </w:r>
      <w:r w:rsidR="00A7014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»</w:t>
      </w:r>
      <w:r w:rsidR="001B19FC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признать утратившим силу</w:t>
      </w:r>
      <w:r w:rsidR="00A70144" w:rsidRPr="00AA0C72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</w:t>
      </w:r>
    </w:p>
    <w:p w:rsidR="00DF79BD" w:rsidRPr="00AA0C72" w:rsidRDefault="00E75ED9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3</w:t>
      </w:r>
      <w:r w:rsidR="00DF79BD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 Настоящее решение вступает в силу после его </w:t>
      </w:r>
      <w:r w:rsidR="00C22357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официального </w:t>
      </w:r>
      <w:r w:rsidR="00DF79BD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опубликования</w:t>
      </w:r>
      <w:r w:rsidR="001B19FC" w:rsidRPr="00AA0C72">
        <w:rPr>
          <w:sz w:val="26"/>
          <w:szCs w:val="26"/>
        </w:rPr>
        <w:t xml:space="preserve"> </w:t>
      </w:r>
      <w:r w:rsidR="001B19FC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в официальном сетевом издании города Югорска</w:t>
      </w:r>
      <w:r w:rsidR="00DF79BD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6C7CF5" w:rsidRPr="00AA0C72" w:rsidRDefault="006C7CF5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B19FC" w:rsidRDefault="001B19FC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A0C72" w:rsidRDefault="00AA0C72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A0C72" w:rsidRPr="00AA0C72" w:rsidRDefault="00AA0C72" w:rsidP="00AA0C7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AA0C72" w:rsidRDefault="006C7CF5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1FB3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</w:t>
      </w:r>
      <w:r w:rsidR="00401FB3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AA0C72" w:rsidRDefault="006C7CF5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79BF" w:rsidRDefault="001F79BF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A0C72" w:rsidRDefault="00AA0C72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A0C72" w:rsidRPr="00AA0C72" w:rsidRDefault="00AA0C72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AA0C72" w:rsidRDefault="006C7CF5" w:rsidP="00AA0C7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1FB3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A0C72" w:rsidRDefault="00AA0C72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AA0C72" w:rsidRDefault="006C7CF5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25</w:t>
      </w:r>
      <w:r w:rsidRP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ноября</w:t>
      </w:r>
      <w:r w:rsidRP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FB7D45" w:rsidRP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5</w:t>
      </w:r>
      <w:r w:rsidRPr="00AA0C7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DA529D" w:rsidRPr="00AA0C72" w:rsidRDefault="006C7CF5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DA529D" w:rsidRPr="00AA0C72" w:rsidRDefault="00DA529D" w:rsidP="00AA0C7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 1</w:t>
      </w:r>
    </w:p>
    <w:p w:rsidR="00DA529D" w:rsidRPr="00AA0C72" w:rsidRDefault="00DA529D" w:rsidP="00AA0C7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DA529D" w:rsidRPr="00AA0C72" w:rsidRDefault="00DA529D" w:rsidP="00AA0C7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AA0C7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25 ноября 2025 года № 83</w:t>
      </w:r>
    </w:p>
    <w:p w:rsidR="00DA529D" w:rsidRPr="00AA0C72" w:rsidRDefault="00DA529D" w:rsidP="00AA0C7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A529D" w:rsidRPr="00AA0C72" w:rsidRDefault="00DA529D" w:rsidP="00AA0C72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A529D" w:rsidRPr="00AA0C72" w:rsidRDefault="00DA529D" w:rsidP="00AA0C72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2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4" w:anchor="/document/403349393/entry/1000" w:history="1">
        <w:r w:rsidRPr="00AA0C72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контроле в сфере благоустройства</w:t>
      </w:r>
    </w:p>
    <w:p w:rsidR="00DA529D" w:rsidRDefault="00DA529D" w:rsidP="00AA0C72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10648" w:rsidRPr="00AA0C72" w:rsidRDefault="00B10648" w:rsidP="00AA0C72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A529D" w:rsidRPr="00AA0C72" w:rsidRDefault="00DA529D" w:rsidP="00AA0C72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Критерии отнесения объектов муниципального контроля в сфере благоустройства к категориям риска</w:t>
      </w:r>
    </w:p>
    <w:p w:rsidR="00DA529D" w:rsidRPr="00AA0C72" w:rsidRDefault="00DA529D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A529D" w:rsidRPr="00AA0C72" w:rsidRDefault="00DA529D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</w:t>
      </w:r>
      <w:r w:rsidR="00263BE9"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сфере благоустройства 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подлежат отнесению к категориям среднего, умеренного и низкого рисков.</w:t>
      </w:r>
    </w:p>
    <w:p w:rsidR="00DA529D" w:rsidRPr="00AA0C72" w:rsidRDefault="00DA529D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DA529D" w:rsidRPr="00AA0C72" w:rsidRDefault="00DA529D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вступившего в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которое</w:t>
      </w:r>
      <w:proofErr w:type="gramEnd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предусмотрена Кодексом Российской Федерации об административных правонарушениях.</w:t>
      </w:r>
    </w:p>
    <w:p w:rsidR="00DA529D" w:rsidRPr="00AA0C72" w:rsidRDefault="00DA529D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proofErr w:type="gramEnd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DA529D" w:rsidRPr="00AA0C72" w:rsidRDefault="00DA529D" w:rsidP="00AA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DA529D" w:rsidRPr="00AA0C72" w:rsidRDefault="00DA529D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11404" w:rsidRPr="00AA0C72" w:rsidRDefault="00111404" w:rsidP="00AA0C72">
      <w:pPr>
        <w:spacing w:after="0" w:line="240" w:lineRule="auto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br w:type="page"/>
      </w:r>
    </w:p>
    <w:p w:rsidR="00111404" w:rsidRPr="00AA0C72" w:rsidRDefault="00111404" w:rsidP="00AA0C7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 2</w:t>
      </w:r>
    </w:p>
    <w:p w:rsidR="00111404" w:rsidRPr="00AA0C72" w:rsidRDefault="00111404" w:rsidP="00AA0C7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111404" w:rsidRPr="00AA0C72" w:rsidRDefault="00111404" w:rsidP="00AA0C7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B1064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25 ноября 2025 года № 83</w:t>
      </w:r>
      <w:bookmarkStart w:id="0" w:name="_GoBack"/>
      <w:bookmarkEnd w:id="0"/>
    </w:p>
    <w:p w:rsidR="00111404" w:rsidRPr="00AA0C72" w:rsidRDefault="00111404" w:rsidP="00AA0C7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11404" w:rsidRPr="00AA0C72" w:rsidRDefault="00111404" w:rsidP="00AA0C72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A1BE2" w:rsidRPr="00AA0C72" w:rsidRDefault="00111404" w:rsidP="00AA0C72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3</w:t>
      </w: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5" w:anchor="/document/403349393/entry/1000" w:history="1">
        <w:r w:rsidRPr="00AA0C72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</w:t>
      </w:r>
      <w:r w:rsidR="002A1BE2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</w:t>
      </w:r>
      <w:proofErr w:type="gramStart"/>
      <w:r w:rsidR="002A1BE2"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муниципальном</w:t>
      </w:r>
      <w:proofErr w:type="gramEnd"/>
    </w:p>
    <w:p w:rsidR="00111404" w:rsidRPr="00AA0C72" w:rsidRDefault="002A1BE2" w:rsidP="00AA0C72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proofErr w:type="gramStart"/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контроле</w:t>
      </w:r>
      <w:proofErr w:type="gramEnd"/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в сфере благоустройства</w:t>
      </w:r>
    </w:p>
    <w:p w:rsidR="00111404" w:rsidRPr="00AA0C72" w:rsidRDefault="00111404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11404" w:rsidRPr="00AA0C72" w:rsidRDefault="00111404" w:rsidP="00AA0C7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Показатели результативности и эффективности и их целевые значения</w:t>
      </w:r>
    </w:p>
    <w:p w:rsidR="00111404" w:rsidRPr="00AA0C72" w:rsidRDefault="00111404" w:rsidP="00AA0C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Оценка результативности и эффективности деятельности администрации </w:t>
      </w:r>
      <w:r w:rsidRPr="00AA0C72">
        <w:rPr>
          <w:rFonts w:ascii="PT Astra Serif" w:eastAsia="Arial Unicode MS" w:hAnsi="PT Astra Serif" w:cs="Times New Roman"/>
          <w:kern w:val="1"/>
          <w:sz w:val="26"/>
          <w:szCs w:val="26"/>
        </w:rPr>
        <w:t>города Югорска</w:t>
      </w: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3. Показателем результативности и эффективности осуществления муниципального контроля являются:</w:t>
      </w: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2915"/>
        <w:gridCol w:w="2800"/>
        <w:gridCol w:w="1685"/>
      </w:tblGrid>
      <w:tr w:rsidR="00111404" w:rsidRPr="00AA0C72" w:rsidTr="000132F7">
        <w:trPr>
          <w:trHeight w:val="1104"/>
        </w:trPr>
        <w:tc>
          <w:tcPr>
            <w:tcW w:w="1350" w:type="pct"/>
            <w:shd w:val="clear" w:color="FFFFFF" w:fill="FFFFFF"/>
            <w:vAlign w:val="center"/>
          </w:tcPr>
          <w:p w:rsidR="00111404" w:rsidRPr="00AA0C72" w:rsidRDefault="00111404" w:rsidP="00AA0C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1438" w:type="pct"/>
            <w:shd w:val="clear" w:color="FFFFFF" w:fill="FFFFFF"/>
            <w:vAlign w:val="center"/>
          </w:tcPr>
          <w:p w:rsidR="00111404" w:rsidRPr="00AA0C72" w:rsidRDefault="00111404" w:rsidP="00AA0C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381" w:type="pct"/>
            <w:vAlign w:val="center"/>
          </w:tcPr>
          <w:p w:rsidR="00111404" w:rsidRPr="00AA0C72" w:rsidRDefault="00111404" w:rsidP="00AA0C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831" w:type="pct"/>
            <w:vAlign w:val="center"/>
          </w:tcPr>
          <w:p w:rsidR="00111404" w:rsidRPr="00AA0C72" w:rsidRDefault="00111404" w:rsidP="00AA0C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A0C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Целевое значение</w:t>
            </w:r>
          </w:p>
        </w:tc>
      </w:tr>
      <w:tr w:rsidR="00111404" w:rsidRPr="00AA0C72" w:rsidTr="000132F7">
        <w:tc>
          <w:tcPr>
            <w:tcW w:w="1350" w:type="pct"/>
            <w:shd w:val="clear" w:color="FFFFFF" w:fill="FFFFFF"/>
          </w:tcPr>
          <w:p w:rsidR="00D40471" w:rsidRPr="00AA0C72" w:rsidRDefault="00D40471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травмированных/погибших на территории </w:t>
            </w:r>
            <w:r w:rsidR="007D4403"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Югорска</w:t>
            </w: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нарушения норм и правил, установленных правовыми актами в сфере благоустройства, в процентах, на 10 тыс. населения.</w:t>
            </w:r>
          </w:p>
          <w:p w:rsidR="00111404" w:rsidRPr="00AA0C72" w:rsidRDefault="00111404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shd w:val="clear" w:color="FFFFFF" w:fill="FFFFFF"/>
          </w:tcPr>
          <w:p w:rsidR="007D4403" w:rsidRPr="00AA0C72" w:rsidRDefault="007D4403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ключевого показателя рассчитывается по формуле:</w:t>
            </w:r>
          </w:p>
          <w:p w:rsidR="007D4403" w:rsidRPr="00AA0C72" w:rsidRDefault="007D4403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= (ч ÷ b) × 10000, где </w:t>
            </w:r>
          </w:p>
          <w:p w:rsidR="00A900A5" w:rsidRPr="00AA0C72" w:rsidRDefault="00A900A5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– ключевой показатель;</w:t>
            </w:r>
          </w:p>
          <w:p w:rsidR="007D4403" w:rsidRPr="00AA0C72" w:rsidRDefault="007D4403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число граждан травмированных/погибших на </w:t>
            </w:r>
            <w:r w:rsidR="00CA3F95"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Югорска в результате нарушения норм и правил, установленных правовыми актами в сфере благоустройства;</w:t>
            </w:r>
          </w:p>
          <w:p w:rsidR="00111404" w:rsidRPr="00AA0C72" w:rsidRDefault="007D4403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– </w:t>
            </w:r>
            <w:r w:rsidR="00BC5AF7"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 в текущем периоде</w:t>
            </w: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pct"/>
          </w:tcPr>
          <w:p w:rsidR="00111404" w:rsidRPr="00AA0C72" w:rsidRDefault="000132F7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</w:t>
            </w:r>
            <w:r w:rsidRPr="00AA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</w:t>
            </w:r>
          </w:p>
        </w:tc>
        <w:tc>
          <w:tcPr>
            <w:tcW w:w="831" w:type="pct"/>
          </w:tcPr>
          <w:p w:rsidR="00111404" w:rsidRPr="00AA0C72" w:rsidRDefault="00BC5AF7" w:rsidP="00AA0C7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</w:tr>
    </w:tbl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11404" w:rsidRPr="00AA0C72" w:rsidRDefault="00111404" w:rsidP="00AA0C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  <w:t>4.</w:t>
      </w:r>
      <w:r w:rsidRPr="00AA0C72">
        <w:rPr>
          <w:rFonts w:ascii="PT Astra Serif" w:hAnsi="PT Astra Serif"/>
          <w:sz w:val="26"/>
          <w:szCs w:val="26"/>
        </w:rPr>
        <w:t xml:space="preserve"> </w:t>
      </w: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Индикативные показатели: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  <w:t>количество внеплановых контрольных мероприятий, про</w:t>
      </w: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веденных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общее количество контрольных мероприятий </w:t>
      </w:r>
      <w:proofErr w:type="gramStart"/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proofErr w:type="gramEnd"/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взаимодействием, проведенных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количество контрольных мероприятий </w:t>
      </w:r>
      <w:proofErr w:type="gramStart"/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proofErr w:type="gramEnd"/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обязательных профилактических визитов, проведенных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сумма административных штрафов, наложенных по результатам контрольных мероприятий,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контролируемых лиц на конец отчетного периода;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111404" w:rsidRPr="00AA0C72" w:rsidRDefault="00111404" w:rsidP="00AA0C72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111404" w:rsidRPr="00AA0C72" w:rsidRDefault="00D72770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A0C72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111404" w:rsidRPr="00AA0C72" w:rsidRDefault="00111404" w:rsidP="00AA0C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11404" w:rsidRPr="00AA0C72" w:rsidRDefault="00111404" w:rsidP="00AA0C7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AA0C72" w:rsidRDefault="006C7CF5" w:rsidP="00AA0C7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sectPr w:rsidR="006C7CF5" w:rsidRPr="00AA0C72" w:rsidSect="00AA0C7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A6E2ED2"/>
    <w:multiLevelType w:val="hybridMultilevel"/>
    <w:tmpl w:val="A2C4AE88"/>
    <w:lvl w:ilvl="0" w:tplc="3AAA1294">
      <w:start w:val="1"/>
      <w:numFmt w:val="decimal"/>
      <w:lvlText w:val="%1)"/>
      <w:lvlJc w:val="left"/>
      <w:pPr>
        <w:ind w:left="1353" w:hanging="360"/>
      </w:pPr>
      <w:rPr>
        <w:rFonts w:ascii="PT Astra Serif" w:hAnsi="PT Astra Serif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132F7"/>
    <w:rsid w:val="00045864"/>
    <w:rsid w:val="000651A1"/>
    <w:rsid w:val="00071142"/>
    <w:rsid w:val="00095969"/>
    <w:rsid w:val="000B4E56"/>
    <w:rsid w:val="000D18B6"/>
    <w:rsid w:val="00111404"/>
    <w:rsid w:val="00114D08"/>
    <w:rsid w:val="00145F20"/>
    <w:rsid w:val="001535C4"/>
    <w:rsid w:val="0018294D"/>
    <w:rsid w:val="001A125B"/>
    <w:rsid w:val="001A3CCC"/>
    <w:rsid w:val="001B04AF"/>
    <w:rsid w:val="001B19FC"/>
    <w:rsid w:val="001F79BF"/>
    <w:rsid w:val="00221884"/>
    <w:rsid w:val="0025664E"/>
    <w:rsid w:val="00263BE9"/>
    <w:rsid w:val="00267173"/>
    <w:rsid w:val="00277C54"/>
    <w:rsid w:val="0028631B"/>
    <w:rsid w:val="002A0BEF"/>
    <w:rsid w:val="002A1BE2"/>
    <w:rsid w:val="002A78AD"/>
    <w:rsid w:val="002B2117"/>
    <w:rsid w:val="002E13F9"/>
    <w:rsid w:val="003167A8"/>
    <w:rsid w:val="00326F36"/>
    <w:rsid w:val="0033518C"/>
    <w:rsid w:val="00337F17"/>
    <w:rsid w:val="0035798E"/>
    <w:rsid w:val="003A4FE1"/>
    <w:rsid w:val="003B1058"/>
    <w:rsid w:val="003C35B1"/>
    <w:rsid w:val="003C3FC6"/>
    <w:rsid w:val="003D7C9E"/>
    <w:rsid w:val="003E2BC0"/>
    <w:rsid w:val="00401FB3"/>
    <w:rsid w:val="0042144E"/>
    <w:rsid w:val="00424F03"/>
    <w:rsid w:val="004327DD"/>
    <w:rsid w:val="004327F8"/>
    <w:rsid w:val="004A17A5"/>
    <w:rsid w:val="004B4948"/>
    <w:rsid w:val="004C5D02"/>
    <w:rsid w:val="00516C01"/>
    <w:rsid w:val="00573431"/>
    <w:rsid w:val="00574324"/>
    <w:rsid w:val="005847EF"/>
    <w:rsid w:val="005F1981"/>
    <w:rsid w:val="00621F59"/>
    <w:rsid w:val="00646B4C"/>
    <w:rsid w:val="0067426D"/>
    <w:rsid w:val="006772A3"/>
    <w:rsid w:val="00691814"/>
    <w:rsid w:val="00692341"/>
    <w:rsid w:val="006958C3"/>
    <w:rsid w:val="006A0CAB"/>
    <w:rsid w:val="006A1A28"/>
    <w:rsid w:val="006C79E0"/>
    <w:rsid w:val="006C7CF5"/>
    <w:rsid w:val="006D1C86"/>
    <w:rsid w:val="006D3830"/>
    <w:rsid w:val="00712CDC"/>
    <w:rsid w:val="007227C8"/>
    <w:rsid w:val="00725F65"/>
    <w:rsid w:val="00743051"/>
    <w:rsid w:val="00745924"/>
    <w:rsid w:val="0076368F"/>
    <w:rsid w:val="0077694E"/>
    <w:rsid w:val="007D4403"/>
    <w:rsid w:val="007F6C47"/>
    <w:rsid w:val="00811DA9"/>
    <w:rsid w:val="00812F02"/>
    <w:rsid w:val="0084071E"/>
    <w:rsid w:val="00862BFE"/>
    <w:rsid w:val="0086305E"/>
    <w:rsid w:val="00865CB7"/>
    <w:rsid w:val="00885287"/>
    <w:rsid w:val="0089441E"/>
    <w:rsid w:val="008A360E"/>
    <w:rsid w:val="008B664B"/>
    <w:rsid w:val="008C2ADD"/>
    <w:rsid w:val="008E013F"/>
    <w:rsid w:val="00913090"/>
    <w:rsid w:val="00913318"/>
    <w:rsid w:val="00920BBC"/>
    <w:rsid w:val="00923C74"/>
    <w:rsid w:val="009351FB"/>
    <w:rsid w:val="009366C2"/>
    <w:rsid w:val="00950D2E"/>
    <w:rsid w:val="00956938"/>
    <w:rsid w:val="00957A21"/>
    <w:rsid w:val="00964401"/>
    <w:rsid w:val="00970097"/>
    <w:rsid w:val="009B6E28"/>
    <w:rsid w:val="009E3BDA"/>
    <w:rsid w:val="009E5599"/>
    <w:rsid w:val="00A10EBC"/>
    <w:rsid w:val="00A275BF"/>
    <w:rsid w:val="00A464D2"/>
    <w:rsid w:val="00A62FF0"/>
    <w:rsid w:val="00A70144"/>
    <w:rsid w:val="00A846E4"/>
    <w:rsid w:val="00A900A5"/>
    <w:rsid w:val="00AA0C72"/>
    <w:rsid w:val="00AA6E85"/>
    <w:rsid w:val="00AB03F9"/>
    <w:rsid w:val="00AB309A"/>
    <w:rsid w:val="00AE333A"/>
    <w:rsid w:val="00AE6451"/>
    <w:rsid w:val="00AF58A5"/>
    <w:rsid w:val="00B10648"/>
    <w:rsid w:val="00B217B2"/>
    <w:rsid w:val="00B340D6"/>
    <w:rsid w:val="00B44DF7"/>
    <w:rsid w:val="00B45D94"/>
    <w:rsid w:val="00B52FE5"/>
    <w:rsid w:val="00B72C07"/>
    <w:rsid w:val="00B907D5"/>
    <w:rsid w:val="00B94C5D"/>
    <w:rsid w:val="00B95F76"/>
    <w:rsid w:val="00BB1D6A"/>
    <w:rsid w:val="00BC5AF7"/>
    <w:rsid w:val="00BE2800"/>
    <w:rsid w:val="00C14F02"/>
    <w:rsid w:val="00C17A3A"/>
    <w:rsid w:val="00C22357"/>
    <w:rsid w:val="00C33C2D"/>
    <w:rsid w:val="00C43406"/>
    <w:rsid w:val="00C5616B"/>
    <w:rsid w:val="00C624D7"/>
    <w:rsid w:val="00C72E0C"/>
    <w:rsid w:val="00C83691"/>
    <w:rsid w:val="00C94E43"/>
    <w:rsid w:val="00C95F1A"/>
    <w:rsid w:val="00CA0FC3"/>
    <w:rsid w:val="00CA3F95"/>
    <w:rsid w:val="00CB368E"/>
    <w:rsid w:val="00CB6D41"/>
    <w:rsid w:val="00CE49D6"/>
    <w:rsid w:val="00D03962"/>
    <w:rsid w:val="00D25CB5"/>
    <w:rsid w:val="00D2775F"/>
    <w:rsid w:val="00D40471"/>
    <w:rsid w:val="00D54375"/>
    <w:rsid w:val="00D634BD"/>
    <w:rsid w:val="00D666D3"/>
    <w:rsid w:val="00D72770"/>
    <w:rsid w:val="00DA02AA"/>
    <w:rsid w:val="00DA529D"/>
    <w:rsid w:val="00DB3DC6"/>
    <w:rsid w:val="00DB5479"/>
    <w:rsid w:val="00DF79BD"/>
    <w:rsid w:val="00E069C3"/>
    <w:rsid w:val="00E14FEF"/>
    <w:rsid w:val="00E72DD1"/>
    <w:rsid w:val="00E75ED9"/>
    <w:rsid w:val="00F067F0"/>
    <w:rsid w:val="00F2240E"/>
    <w:rsid w:val="00F5407E"/>
    <w:rsid w:val="00FA7CC5"/>
    <w:rsid w:val="00FB251B"/>
    <w:rsid w:val="00FB7D45"/>
    <w:rsid w:val="00FC1B73"/>
    <w:rsid w:val="00FC7ED1"/>
    <w:rsid w:val="00FC7F1C"/>
    <w:rsid w:val="00FE2B1D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49814/25" TargetMode="External"/><Relationship Id="rId13" Type="http://schemas.openxmlformats.org/officeDocument/2006/relationships/hyperlink" Target="https://internet.garant.ru/document/redirect/74449814/5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4449814/9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74449814/25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4449814/52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CA86-C0EC-4298-B3BC-D1A6DA6D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8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147</cp:revision>
  <cp:lastPrinted>2025-10-02T05:41:00Z</cp:lastPrinted>
  <dcterms:created xsi:type="dcterms:W3CDTF">2022-05-18T04:14:00Z</dcterms:created>
  <dcterms:modified xsi:type="dcterms:W3CDTF">2025-11-25T10:49:00Z</dcterms:modified>
</cp:coreProperties>
</file>